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11 vom 26. November 2012</w:t>
      </w:r>
    </w:p>
    <w:p>
      <w:r>
        <w:t>BL Gerichte, 2012-11-26, DE</w:t>
      </w:r>
    </w:p>
    <w:p>
      <w:r>
        <w:rPr>
          <w:b/>
        </w:rPr>
        <w:t xml:space="preserve">Quelle: </w:t>
      </w:r>
      <w:r>
        <w:t>https://mcp.opencaselaw.ch/entscheid/bl_gerichte_810 13 11</w:t>
      </w:r>
    </w:p>
    <w:p>
      <w:r>
        <w:t>FR: BL_GERICHTE 810 13 11 du 26 novembre 2012</w:t>
      </w:r>
    </w:p>
    <w:p>
      <w:r>
        <w:t>IT: BL_GERICHTE 810 13 11 del 26 novembre 2012</w:t>
      </w:r>
    </w:p>
    <w:p>
      <w:pPr>
        <w:pStyle w:val="Heading2"/>
      </w:pPr>
      <w:r>
        <w:t>Regeste</w:t>
      </w:r>
    </w:p>
    <w:p>
      <w:r>
        <w:t>Besuchsrecht für D., Beistandsperson zur Regelung des Besuchsrechts, Abklärungsauftrag (Beschluss der Vormundschaftsbehörde E. vom 26. November 2012 und 10. Dezember 2012)</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(vgl. § 45 Abs. 1 lit. c VPO).</w:t>
      </w:r>
    </w:p>
    <w:p>
      <w:r>
        <w:rPr>
          <w:b/>
        </w:rPr>
        <w:t>E. 3</w:t>
      </w:r>
    </w:p>
    <w:p>
      <w:r>
        <w:t>Umstritten ist, ob die VB E. zu Recht im Sinne einer vorsorglichen Massnahme ein begleitetes Besuchsrecht befristet bis zum Abschluss der gesetzlichen Abklärungen verfügt hat. 4.1. Der Beschwerdeführer macht im Wesentlichen geltend, dass er nach der Trennung von der Kindsmutter im Dezember 2008 vorerst seinen Sohn D. , wann immer es möglich gewesen sei, zu sich in seine Wohnung nach X. genommen habe. Die Besuchstage hätten jeweilen zwei bis drei Tage gedauert. Erst eine unerfüllbare Unterhaltsforderung der Kindsmutter habe eine Änderung gebracht und die Kindsmutter habe D. immer öfter die Besuche beim Vater, seinen Brüdern und den Grosseltern verweigert. Am 27. April 2012 sei er erstmals mit der Bitte um Hilfe bei der VB E. vorstellig geworden, weil die Kindsmutter die Besuche bei ihm für D. immer mehr erschwert und schliesslich ganz verunmöglicht habe. Nach acht Monaten habe die VB schliesslich den angefochtenen Entscheid gefällt, ohne die verfügte Massnahme des begleiteten Besuchsrechts zu begründen. Diese drastische Massnahme sei wohl auf Antrag der Kindsmutter erfolgt. Seine Standpunkte seien nicht überprüft und nicht gewürdigt worden, insbesondere seien seine Befürchtungen, es bestehe die Gefahr der von der Mutter gewollten Entfremdung des Kindes vom Vater, nicht ernst genommen worden. Folglich hätten er und sein Sohn D. während der letzten acht Monate nur wenige Stunden miteinander verbringen können. Es sei nicht anzunehmen, dass die Kindsmutter während des Beschwerde-verfahrens ein Einsehen haben und D. die Besuche beim Vater erlauben werde. Nur das Wohl des Kindes müsse vorliegend gewürdigt werden. 4.2. Demgegenüber hält die Beschwerdegegnerin C. fest, dass das Kind D. sich seit August 2012 strikte weigere, seinen leiblichen Vater A. zu besuchen. Allein schon die Tatsache, dass der Beschwerdeführer per sofort ein gerichtsübliches Besuchsrecht ohne weitere Bedingungen, welches weit über die je bestandenen Besuchszeiträume hinausgehe, fordere, beweise, dass er in keiner Art und Weise bereit sei, die Haltung und die Bedürfnisse von D. wahrzunehmen oder gar zu berücksichtigen. Es gehe ihm somit überhaupt nicht um das Wohl des Kindes. 5.1 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Eltern, aber auch bei Auflösung eines Konkubinats. Das Recht auf persönlichen Verkehr steht Eltern und Kindern um ihrer Persönlichkeit willen zu (vgl. BGE 123 III 445 E. 3b). Es ist ein reziprokes Recht und somit ein Recht des nicht obhutsberechtigten Elternteils sowie ein Recht des Kindes. Dabei ist der sorge- bzw. obhutsberechtigte Elternteil verpflichtet, den persönlichen Verkehr zwischen Eltern und Kind zu dulden, ja vielmehr sogar zu ermöglichen. Das Bundesgericht hat ausdrücklich festgehalten, dass es unhaltbar ist, wenn der obhutsberechtigte Elternteil es in der Hand hätte, gewissermassen durch Zwistigkeiten mit dem anderen Teil den Umfang des Besuchsrechts zu steuern (vgl. BGE 130 III 585 E. 2.2.1). Oberste Richtschnur für die Ausgestaltung des Besuchsrechts ist immer das Kindes-wohl, das anhand der Umstände des konkreten Einzelfalles zu beurteilen ist; allfällige Interessen der Eltern haben zurückzustehen (BGE 127 III 295 E. 4a; 123 III 445 E. 3b). Von enormer Bedeutung für die Regelung des Besuchsrechts ist der Wille des Kindes (vgl. BGE 124 III 90 E. 3a). Zur Ermittlung des Kindeswillens ist das Kind anzuhören. Der Kindeswille ist nicht nur bei der Ausgestaltung des Besuchsrechts im Einzelnen zu berücksichtigen, sondern vor allem bei der Frage, ob überhaupt Besuche stattfinden sollen (vgl. BGE 127 III 295 E. 2a).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(Urteil des Bundesgerichts 5C.298/2006 vom 21. Februar 2007; 5C.250/2005 vom 3. Januar 2006 E. 3.2.1). Auch bei jüngeren Kindern muss den Ursachen für eine Ablehnung von Besuchskontakten nachgegangen werden. Es steht aber nicht im freien Belieben des Kindes, ob es persönliche Kontakte wünscht oder nicht (vgl. Urteil des Bundesgerichts 5A_716/2010 vom 23. Februar 2011 E. 4 mit weiteren Hinweisen). Beruht die Weigerungshaltung auf eigenem Erleben des Kindes, beispielsweise von familiärer Gewalt, oder auf einem unlösbaren Loyalitätskonflikt, so darf sie nicht einfach übergangen werden. 5.2 Unter einem begleiteten Besuchsrecht wird die Ausübung von Besuchskontakten in Anwesenheit einer oder mehrerer Drittpersonen verstanden. Soweit sich die Eltern nicht einvernehmlich auf die Ausübung des Besuchsrechts an einem bestimmten Ort in Anwesenheit Dritter einigen, ist mit der Anordnung eines begleiteten Besuchsrechts die Ernennung eines Beistandes gemäss Art. 308 Abs. 2 ZGB verbunden. Das begleitete Besuchsrecht stellt somit eine Kindesschutzmassnahme im Sinne der Art. 307 ff. ZGB dar. Das begleitete Besuchsrecht bezweckt, der Gefährdung des Kindes wirksam zu begegnen, Krisensituationen zu entschärfen und Ängste abzubauen sowie Hilfestellungen für eine Verbesserung der Beziehungen zum Kind und unter den Eltern zu vermitteln. Es erscheint insbesondere indiziert bei Verdacht auf sexuelle Übergriffe, Gewaltanwendung, Entführungsgefahr, Suchtabhängigkeit oder psychische Erkrankung, negative Beeinflussung des Kindes, Überforderungen und Ängste des Kindes sowie bei einem stark gestörten Verhältnis unter den Eltern. Das begleitete Besuchsrecht stellt sich als Alternative zum Entzug des Besuchsrechts nach Art. 274 Abs. 2 ZGB dar, sodass dessen Voraussetzungen erfüllt sein müssen. So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Aufsicht einer Begleitperson hat nicht denselben Wert wie ein unbegleiteter, der in der Regel ungezwungener erfolgt (BGE 122 III 404 E. 3c). Die Anordnung wäre jedoch auch ohne vorherige pflichtwidrige Ausübung möglich, um bei ernsthafter Verweigerungshaltung des Kindes das Wohl des Kindes nicht durch die zwangsweise Vollstreckung des Besuchsrechts zu gefährden. Da Kindern ab etwa 12 Jahren ein weitgehendes Mitbestimmungsrecht über die Besuchskontakte zu gewähren ist, kommt das begleitete Besuchsrecht eher bei kleinen Kindern in Frage. Die Anordnung des begleiteten Besuchsrechts ist auch denkbar, um nach einer langen Phase fehlender Kontakte eine Beziehung behutsam aufzubauen (vgl. Annatina Wirz , in: Ingeborg Schwenzer (Hrsg.), Praxiskommentar Scheidungsrecht, Bern 2010, N 21 zu Art. 274 ZGB; Andrea Büchler / Margot Michel , Besuchsrecht und häusliche Gewalt, FamPra.ch 2011 525 S. 548; Urteil des Bundesgerichts 5A_92/2009 vom 22. April 2009 E. 5.1.2). Das begleitete Besuchsrecht stellt lediglich eine Übergangslösung dar und ist deshalb stets nur für eine begrenzte Dauer anzuordnen. 5.3 Die Erwachsenenschutzbehörde trifft gemäss Art. 445 ZGB auf Antrag einer am Verfahren beteiligten Person oder von Amtes wegen alle für die Dauer des Verfahrens notwendigen vorsorglichen Massnahmen. Diese Bestimmung ist sinngemäss auch im Verfahren vor der Kindesschutzbehörde anwendbar (Art. 440 Abs. 3 i.V.m. Art. 314 Abs. 1 ZGB). Vorsorgliche Massnahmen bezwecken, die Wirksamkeit der im Hauptverfahren zu treffenden Massnahmen zu gewährleisten. Dabei gewährleisten sie entweder als Sicherungsmassnahmen die Aufrechterhaltung eines Zustands oder als Regelungs- bzw. Gestaltungsmassnahmen die Neugestaltung einer Situation. Sie entlasten überdies das Hauptverfahren, da hinreichend Zeit für vertiefte Abklärungen bleibt. Im Vordergrund stehen dabei vorsorgliche Massnahmen vorübergehender Natur, d.h. solche, die während des Verfahrens wirken sollen und mit dessen Abschluss wegfallen oder durch eine definitive, womöglich anders ausgestaltete Massnahme abgelöst werden. Eine vorsorgliche Massnahme darf nicht darauf hinauslaufen, den Entscheid in der Sache vorwegzunehmen (vgl. Christoph Auer / Michèle Marti , in: Geiser/Reusser [Hrsg.], Basler Kommentar zum Erwachsenenschutz, Basel 2012, N 1 ff. zu Art. 445). Die Kindesschutzbehörde erlässt vorsorgliche Massnahmen gestützt auf eine bloss summarische Prüfung der Sach- und Rechtslage, handelt es sich doch um ein Verfahren, das in eine bloss vorläufige Anordnung mündet. Eine eingehendere Prüfung der tatsächlichen und rechtlichen Verhältnisse ist aufgrund der Dringlichkeit in der Regel auch gar nicht möglich. Erhöhte Anforderungen bestehen aber dort, wo die vorsorgliche Massnahme unwiderrufliche Verhältnisse schafft. Vor dem Erlass einer vorsorglichen Massnahme sind die am Verfahren beteiligten Personen anzuhören. Für die Anordnung einer vorsorglichen Massnahme genügt das Beweis-mass der Glaubhaftmachung. Es muss ausreichen, wenn eine Gefährdung aufgrund summarischer Prüfung zwar als wahrscheinlich scheint, die Möglichkeit einer Fehlannahme aber nicht ausgeschlossen werden kann ( Christoph Auer / Michèle Marti , a.a.O., N 27 ff. zu Art. 445). 6.1. Die damals zuständige VB E. hielt in ihrem Entscheid fest, dass sich die Ausübung des Besuchsrechts zwischen dem Kindsvater und seinem Sohn D. seit längerer Zeit als schwierig erweise. Zunächst sei deswegen die Einsetzung eines Beistandes vorgeschlagen worden, womit die Kindseltern einverstanden gewesen seien. Mit Schreiben vom 19. August 2012 habe sodann die Kindsmutter ein begleitetes Besuchsrecht für D. gefordert. Mit Schreiben vom 26. Oktober 2012 habe der Kindsvater eine Gefährdungsmeldung gemacht und um Erlass vorsorglicher Massnahmen ersucht, damit der Kontakt zwischen ihm und seinem Sohn nicht abbreche. 6.2. Dem Schreiben der Kindsmutter vom 19. August 2012 ist zu entnehmen, dass D. kurz vor einem geplanten Wochenende bei seinem Vater seinem Stiefvater mitgeteilt habe, dass er nicht zum Vater gehen möchte. Die Kindsmutter habe nicht in Erfahrung bringen können, was die Ursache für die Verweigerung gewesen sei. Ebenfalls habe D. seinem Vater persönlich am Telefon mitgeteilt, dass er nicht zu ihm kommen wolle. Wie bereits erwähnt, ist der Wille des Kindes für die Regelung des Besuchsrechts von grosser Bedeutung. Um den Ursachen für die angebliche Weigerungshaltung von D. nachzugehen, hat die VB E. den KJPD beauftragt, die Ausgestaltung des Besuchsrechts und die Beziehung des Kindes zu seinen leiblichen Eltern abzuklären. Zu Recht hat die VB E. für die Dauer der Abklärung durch den KJPD vorsorglich ein begleitetes Besuchsrecht verfügt. Da die Möglichkeit besteht, dass D. das Besuchsrecht ernsthaft verweigert, würde die zwangsweise Vollstreckung des Besuchsrechts für die Dauer der Abklärungen das Wohl des Kindes gefährden. Zudem geht aus den Akten hervor, dass bereits seit Juni 2012 kein bzw. kaum Kontakt zwischen Vater und Sohn besteht, sodass das begleitete Besuchsrecht auch dem Wiederaufbau der Beziehung dienen kann. Ebenfalls kann das vorläufig angeordnete begleitete Besuchsrecht die Spannungen zwischen den Kindseltern abbauen. Es sind vorliegend vertiefte Abklärungen vorzunehmen, sodass sich das vorläufig angeordnete begleitete Besuchsrecht im Hinblick auf die betroffenen Interessen als verhältnismässig erweist. Die Beschwerde ist demzufolge abzuweisen.</w:t>
      </w:r>
    </w:p>
    <w:p>
      <w:r>
        <w:rPr>
          <w:b/>
        </w:rPr>
        <w:t>E. 7</w:t>
      </w:r>
    </w:p>
    <w:p>
      <w:r>
        <w:t>Den Akten ist zu entnehmen, dass die Abklärungen beim KJPD immer wieder zu Verzögerungen und Terminproblemen geführt haben. Dabei zu beachten ist, dass die Kindsmutter im März 2013 ein Kind geboren hat. In der Zwischenzeit sollten nun aber alle notwendigen Abklärungen durch den KJPD erfolgt sein, sodass in Kürze der Abklärungsbericht zu erwarten ist. Die Kindes- und Erwachsenenschutzbehörde B. wird nochmals darauf hingewiesen, sich darum zu bemühen, dass der Abklärungsbericht des KJPD so rasch wie möglich erstellt wird und im Anschluss daran umgehend ihren Entscheid in der Hauptsache zu treffen.</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gehen die Verfahrenskosten in der Höhe von Fr. 500.-- zu Lasten des Beschwerdeführers. Die Parteikosten werden wettgeschlagen (§ 21 Abs. 1 VPO). Zufolge Bewilligung der unentgeltlichen Rechtspflege gehen die Verfahrenskosten zu Lasten der Gerichtskasse. Der Beschwerdeführer wird ausdrücklich darauf hingewiesen, dass er zur Nachzahlung verpflichtet ist, sobald er dazu in der Lage ist (§ 53 Abs. 1 des Gesetzes über die Organisation der Gerichte [Gerichtsorganisationsgesetz, GOG] vom 22. Februar 2001). Demgemäss wird e r k a n n t : 1. Die Beschwerde wird abgewiesen. 2. Die Verfahrenskosten in der Höhe von Fr. 500.-- werden dem Beschwerdeführer auferlegt. Zufolge Bewilligung der unentgeltlichen Prozessführung gehen die Verfahrenskosten zu Lasten der Gerichtskasse.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